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word/media/image2.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sectPr>
          <w:type w:val="continuous"/>
          <w:pgSz w:h="16838" w:w="11906"/>
          <w:pgMar w:bottom="993" w:footer="720" w:gutter="0" w:header="0" w:left="1100" w:right="906" w:top="679"/>
          <w:cols w:equalWidth="true" w:num="3" w:sep="true" w:space="2"/>
          <w:formProt w:val="false"/>
          <w:textDirection w:val="lrTb"/>
          <w:docGrid w:charSpace="0" w:linePitch="272" w:type="default"/>
        </w:sectPr>
      </w:pPr>
    </w:p>
    <w:p>
      <w:pPr>
        <w:pStyle w:val="style0"/>
        <w:ind w:hanging="0" w:left="284" w:right="0"/>
      </w:pPr>
      <w:r>
        <w:rPr>
          <w:rFonts w:ascii="Vivaldi" w:cs="JasmineUPC" w:hAnsi="Vivaldi"/>
          <w:b/>
          <w:sz w:val="20"/>
          <w:szCs w:val="26"/>
        </w:rPr>
        <w:t>Département de Meurthe et Moselle</w:t>
      </w:r>
    </w:p>
    <w:p>
      <w:pPr>
        <w:pStyle w:val="style0"/>
        <w:ind w:hanging="0" w:left="284" w:right="0"/>
      </w:pPr>
      <w:r>
        <w:rPr>
          <w:rFonts w:ascii="Bradley Hand ITC" w:cs="JasmineUPC" w:hAnsi="Bradley Hand ITC"/>
          <w:b/>
          <w:sz w:val="26"/>
          <w:szCs w:val="26"/>
        </w:rPr>
        <w:t xml:space="preserve">   </w:t>
      </w:r>
    </w:p>
    <w:p>
      <w:pPr>
        <w:pStyle w:val="style0"/>
        <w:ind w:hanging="0" w:left="284" w:right="0"/>
      </w:pPr>
      <w:r>
        <w:rPr>
          <w:rFonts w:ascii="Bradley Hand ITC" w:cs="JasmineUPC" w:hAnsi="Bradley Hand ITC"/>
        </w:rPr>
        <w:t xml:space="preserve">          </w:t>
      </w:r>
      <w:r>
        <w:rPr>
          <w:rFonts w:ascii="Bradley Hand ITC" w:cs="JasmineUPC" w:hAnsi="Bradley Hand ITC"/>
        </w:rPr>
        <w:drawing>
          <wp:inline distB="0" distL="0" distR="0" distT="0">
            <wp:extent cx="765810" cy="935990"/>
            <wp:effectExtent b="0" l="0" r="0" t="0"/>
            <wp:docPr descr="Arraye et Han BLASON" id="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rraye et Han BLASON" id="0" name="Picture"/>
                    <pic:cNvPicPr>
                      <a:picLocks noChangeArrowheads="1" noChangeAspect="1"/>
                    </pic:cNvPicPr>
                  </pic:nvPicPr>
                  <pic:blipFill>
                    <a:blip r:embed="rId2"/>
                    <a:srcRect/>
                    <a:stretch>
                      <a:fillRect/>
                    </a:stretch>
                  </pic:blipFill>
                  <pic:spPr bwMode="auto">
                    <a:xfrm>
                      <a:off x="0" y="0"/>
                      <a:ext cx="765810" cy="935990"/>
                    </a:xfrm>
                    <a:prstGeom prst="rect">
                      <a:avLst/>
                    </a:prstGeom>
                    <a:noFill/>
                    <a:ln w="9525">
                      <a:noFill/>
                      <a:miter lim="800000"/>
                      <a:headEnd/>
                      <a:tailEnd/>
                    </a:ln>
                  </pic:spPr>
                </pic:pic>
              </a:graphicData>
            </a:graphic>
          </wp:inline>
        </w:drawing>
      </w:r>
    </w:p>
    <w:p>
      <w:pPr>
        <w:pStyle w:val="style0"/>
        <w:ind w:hanging="0" w:left="284" w:right="0"/>
      </w:pPr>
      <w:r>
        <w:rPr>
          <w:rFonts w:ascii="Bradley Hand ITC" w:cs="JasmineUPC" w:hAnsi="Bradley Hand ITC"/>
        </w:rPr>
      </w:r>
    </w:p>
    <w:p>
      <w:pPr>
        <w:pStyle w:val="style0"/>
        <w:ind w:hanging="0" w:left="284" w:right="0"/>
      </w:pPr>
      <w:r>
        <w:rPr>
          <w:rFonts w:ascii="Vivaldi" w:cs="JasmineUPC" w:hAnsi="Vivaldi"/>
          <w:b/>
          <w:sz w:val="26"/>
          <w:szCs w:val="26"/>
        </w:rPr>
        <w:t xml:space="preserve">     </w:t>
      </w:r>
      <w:r>
        <w:rPr>
          <w:rFonts w:ascii="Vivaldi" w:cs="JasmineUPC" w:hAnsi="Vivaldi"/>
          <w:b/>
          <w:sz w:val="20"/>
          <w:szCs w:val="26"/>
        </w:rPr>
        <w:t>Mairie de Arraye et Han</w:t>
      </w:r>
    </w:p>
    <w:p>
      <w:pPr>
        <w:pStyle w:val="style0"/>
        <w:ind w:hanging="0" w:left="284" w:right="0"/>
      </w:pPr>
      <w:r>
        <w:rPr/>
      </w:r>
    </w:p>
    <w:p>
      <w:pPr>
        <w:pStyle w:val="style0"/>
      </w:pPr>
      <w:r>
        <w:rPr/>
      </w:r>
    </w:p>
    <w:p>
      <w:pPr>
        <w:pStyle w:val="style0"/>
      </w:pPr>
      <w:r>
        <w:rPr/>
      </w:r>
    </w:p>
    <w:p>
      <w:pPr>
        <w:pStyle w:val="style0"/>
      </w:pPr>
      <w:r>
        <w:rPr/>
      </w:r>
    </w:p>
    <w:p>
      <w:pPr>
        <w:pStyle w:val="style0"/>
      </w:pPr>
      <w:r>
        <w:rPr/>
      </w:r>
    </w:p>
    <w:p>
      <w:pPr>
        <w:pStyle w:val="style0"/>
        <w:tabs>
          <w:tab w:leader="none" w:pos="2835" w:val="left"/>
        </w:tabs>
        <w:jc w:val="center"/>
      </w:pPr>
      <w:r>
        <w:rPr>
          <w:rFonts w:ascii="Trebuchet MS" w:hAnsi="Trebuchet MS"/>
          <w:b/>
          <w:sz w:val="28"/>
          <w:szCs w:val="24"/>
        </w:rPr>
      </w:r>
    </w:p>
    <w:p>
      <w:pPr>
        <w:pStyle w:val="style0"/>
        <w:tabs>
          <w:tab w:leader="none" w:pos="2835" w:val="left"/>
        </w:tabs>
        <w:jc w:val="center"/>
      </w:pPr>
      <w:r>
        <w:rPr>
          <w:rFonts w:ascii="Trebuchet MS" w:hAnsi="Trebuchet MS"/>
          <w:b/>
          <w:sz w:val="28"/>
          <w:szCs w:val="24"/>
        </w:rPr>
      </w:r>
    </w:p>
    <w:p>
      <w:pPr>
        <w:pStyle w:val="style0"/>
        <w:tabs>
          <w:tab w:leader="none" w:pos="2835" w:val="left"/>
        </w:tabs>
        <w:jc w:val="center"/>
      </w:pPr>
      <w:r>
        <w:rPr>
          <w:rFonts w:ascii="Trebuchet MS" w:hAnsi="Trebuchet MS"/>
          <w:b/>
          <w:sz w:val="28"/>
          <w:szCs w:val="24"/>
        </w:rPr>
      </w:r>
    </w:p>
    <w:p>
      <w:pPr>
        <w:pStyle w:val="style0"/>
        <w:tabs>
          <w:tab w:leader="none" w:pos="2835" w:val="left"/>
        </w:tabs>
        <w:jc w:val="center"/>
      </w:pPr>
      <w:r>
        <w:rPr>
          <w:rFonts w:ascii="Trebuchet MS" w:hAnsi="Trebuchet MS"/>
          <w:b/>
          <w:sz w:val="28"/>
          <w:szCs w:val="24"/>
        </w:rPr>
        <w:t>RÈGLEMENT ET TARIFS</w:t>
      </w:r>
    </w:p>
    <w:p>
      <w:pPr>
        <w:pStyle w:val="style0"/>
        <w:tabs>
          <w:tab w:leader="none" w:pos="2120" w:val="left"/>
        </w:tabs>
        <w:jc w:val="center"/>
      </w:pPr>
      <w:r>
        <w:rPr>
          <w:rFonts w:ascii="Trebuchet MS" w:hAnsi="Trebuchet MS"/>
          <w:b/>
          <w:sz w:val="28"/>
          <w:szCs w:val="24"/>
        </w:rPr>
      </w:r>
    </w:p>
    <w:p>
      <w:pPr>
        <w:pStyle w:val="style0"/>
        <w:tabs>
          <w:tab w:leader="none" w:pos="2120" w:val="left"/>
        </w:tabs>
        <w:jc w:val="center"/>
      </w:pPr>
      <w:r>
        <w:rPr>
          <w:rFonts w:ascii="Trebuchet MS" w:hAnsi="Trebuchet MS"/>
          <w:b/>
          <w:sz w:val="28"/>
          <w:szCs w:val="24"/>
        </w:rPr>
        <w:t xml:space="preserve">DU COLUMBARIUM </w:t>
      </w:r>
    </w:p>
    <w:p>
      <w:pPr>
        <w:pStyle w:val="style0"/>
      </w:pPr>
      <w:r>
        <w:rPr>
          <w:sz w:val="28"/>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ind w:hanging="0" w:left="426" w:right="0"/>
      </w:pPr>
      <w:r>
        <w:rPr>
          <w:rFonts w:ascii="Vivaldi" w:hAnsi="Vivaldi"/>
          <w:b/>
        </w:rPr>
        <w:t xml:space="preserve">  </w:t>
      </w:r>
      <w:r>
        <w:rPr>
          <w:rFonts w:ascii="Vivaldi" w:hAnsi="Vivaldi"/>
          <w:b/>
        </w:rPr>
        <w:t>Département de la Moselle</w:t>
      </w:r>
    </w:p>
    <w:p>
      <w:pPr>
        <w:pStyle w:val="style0"/>
        <w:ind w:hanging="0" w:left="284" w:right="0"/>
      </w:pPr>
      <w:r>
        <w:rPr/>
      </w:r>
    </w:p>
    <w:p>
      <w:pPr>
        <w:pStyle w:val="style0"/>
        <w:ind w:hanging="0" w:left="709" w:right="0"/>
      </w:pPr>
      <w:r>
        <w:rPr/>
        <w:drawing>
          <wp:inline distB="0" distL="0" distR="0" distT="0">
            <wp:extent cx="1219835" cy="901700"/>
            <wp:effectExtent b="0" l="0" r="0" t="0"/>
            <wp:docPr descr="C:\Users\Utilisateur\Desktop\AJONCOURT.jpg"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Utilisateur\Desktop\AJONCOURT.jpg" id="1" name="Picture"/>
                    <pic:cNvPicPr>
                      <a:picLocks noChangeArrowheads="1" noChangeAspect="1"/>
                    </pic:cNvPicPr>
                  </pic:nvPicPr>
                  <pic:blipFill>
                    <a:blip r:embed="rId3"/>
                    <a:srcRect/>
                    <a:stretch>
                      <a:fillRect/>
                    </a:stretch>
                  </pic:blipFill>
                  <pic:spPr bwMode="auto">
                    <a:xfrm>
                      <a:off x="0" y="0"/>
                      <a:ext cx="1219835" cy="901700"/>
                    </a:xfrm>
                    <a:prstGeom prst="rect">
                      <a:avLst/>
                    </a:prstGeom>
                    <a:noFill/>
                    <a:ln w="9525">
                      <a:noFill/>
                      <a:miter lim="800000"/>
                      <a:headEnd/>
                      <a:tailEnd/>
                    </a:ln>
                  </pic:spPr>
                </pic:pic>
              </a:graphicData>
            </a:graphic>
          </wp:inline>
        </w:drawing>
      </w:r>
    </w:p>
    <w:p>
      <w:pPr>
        <w:pStyle w:val="style0"/>
        <w:ind w:hanging="0" w:left="284" w:right="0"/>
      </w:pPr>
      <w:r>
        <w:rPr/>
      </w:r>
    </w:p>
    <w:p>
      <w:pPr>
        <w:pStyle w:val="style0"/>
        <w:ind w:hanging="0" w:left="284" w:right="0"/>
      </w:pPr>
      <w:r>
        <w:rPr>
          <w:rFonts w:ascii="Vivaldi" w:cs="JasmineUPC" w:hAnsi="Vivaldi"/>
          <w:b/>
          <w:sz w:val="26"/>
          <w:szCs w:val="26"/>
        </w:rPr>
        <w:t xml:space="preserve">         </w:t>
      </w:r>
      <w:r>
        <w:rPr>
          <w:rFonts w:ascii="Vivaldi" w:cs="JasmineUPC" w:hAnsi="Vivaldi"/>
          <w:b/>
          <w:sz w:val="22"/>
          <w:szCs w:val="26"/>
        </w:rPr>
        <w:t>Mairie d’Ajoncourt</w:t>
      </w:r>
    </w:p>
    <w:p>
      <w:pPr>
        <w:pStyle w:val="style0"/>
      </w:pPr>
      <w:r>
        <w:rPr/>
      </w:r>
    </w:p>
    <w:p>
      <w:pPr>
        <w:pStyle w:val="style0"/>
      </w:pPr>
      <w:r>
        <w:rPr/>
      </w:r>
    </w:p>
    <w:p>
      <w:pPr>
        <w:sectPr>
          <w:type w:val="continuous"/>
          <w:pgSz w:h="16838" w:w="11906"/>
          <w:pgMar w:bottom="993" w:footer="720" w:gutter="0" w:header="0" w:left="1100" w:right="906" w:top="679"/>
          <w:cols w:equalWidth="true" w:num="3" w:sep="true" w:space="2"/>
          <w:formProt w:val="false"/>
          <w:textDirection w:val="lrTb"/>
          <w:docGrid w:charSpace="0" w:linePitch="272" w:type="default"/>
        </w:sectPr>
      </w:pPr>
    </w:p>
    <w:p>
      <w:pPr>
        <w:pStyle w:val="style0"/>
        <w:jc w:val="both"/>
      </w:pPr>
      <w:r>
        <w:rPr>
          <w:rFonts w:ascii="Trebuchet MS" w:hAnsi="Trebuchet MS"/>
          <w:sz w:val="22"/>
        </w:rPr>
        <w:t>Dans l’enceinte du cimetière situé Chemin du Géramé à ARRAYE ET HAN, les municipalités d’Arraye et Han et d’Ajoncourt mettent à la disposition des familles des deux communes un espace cinéraire qui se présente en deux parties :</w:t>
      </w:r>
    </w:p>
    <w:p>
      <w:pPr>
        <w:pStyle w:val="style0"/>
        <w:jc w:val="both"/>
      </w:pPr>
      <w:r>
        <w:rPr>
          <w:rFonts w:ascii="Trebuchet MS" w:hAnsi="Trebuchet MS"/>
          <w:sz w:val="22"/>
        </w:rPr>
      </w:r>
    </w:p>
    <w:p>
      <w:pPr>
        <w:pStyle w:val="style27"/>
        <w:numPr>
          <w:ilvl w:val="0"/>
          <w:numId w:val="1"/>
        </w:numPr>
        <w:ind w:hanging="360" w:left="1276" w:right="0"/>
        <w:jc w:val="both"/>
      </w:pPr>
      <w:r>
        <w:rPr>
          <w:rFonts w:ascii="Trebuchet MS" w:hAnsi="Trebuchet MS"/>
          <w:sz w:val="22"/>
        </w:rPr>
        <w:t>Le columbarium</w:t>
      </w:r>
    </w:p>
    <w:p>
      <w:pPr>
        <w:pStyle w:val="style27"/>
        <w:numPr>
          <w:ilvl w:val="0"/>
          <w:numId w:val="1"/>
        </w:numPr>
        <w:ind w:hanging="360" w:left="1276" w:right="0"/>
        <w:jc w:val="both"/>
      </w:pPr>
      <w:r>
        <w:rPr>
          <w:rFonts w:ascii="Trebuchet MS" w:hAnsi="Trebuchet MS"/>
          <w:sz w:val="22"/>
        </w:rPr>
        <w:t>Le jardin du souvenir</w:t>
      </w:r>
    </w:p>
    <w:p>
      <w:pPr>
        <w:pStyle w:val="style0"/>
        <w:jc w:val="both"/>
      </w:pPr>
      <w:r>
        <w:rPr>
          <w:rFonts w:ascii="Trebuchet MS" w:hAnsi="Trebuchet MS"/>
          <w:sz w:val="22"/>
        </w:rPr>
      </w:r>
    </w:p>
    <w:p>
      <w:pPr>
        <w:pStyle w:val="style0"/>
        <w:jc w:val="center"/>
      </w:pPr>
      <w:r>
        <w:rPr>
          <w:rFonts w:ascii="Trebuchet MS" w:hAnsi="Trebuchet MS"/>
          <w:b/>
        </w:rPr>
        <w:t>CHAPITRE 1er : LE COLUMBARIUM</w:t>
      </w:r>
    </w:p>
    <w:p>
      <w:pPr>
        <w:pStyle w:val="style0"/>
        <w:jc w:val="both"/>
      </w:pPr>
      <w:r>
        <w:rPr>
          <w:rFonts w:ascii="Trebuchet MS" w:hAnsi="Trebuchet MS"/>
          <w:b/>
          <w:sz w:val="22"/>
        </w:rPr>
      </w:r>
    </w:p>
    <w:p>
      <w:pPr>
        <w:pStyle w:val="style0"/>
        <w:jc w:val="both"/>
      </w:pPr>
      <w:r>
        <w:rPr>
          <w:rFonts w:ascii="Trebuchet MS" w:hAnsi="Trebuchet MS"/>
          <w:b/>
          <w:sz w:val="22"/>
          <w:szCs w:val="22"/>
          <w:u w:val="single"/>
        </w:rPr>
        <w:t>Article 1 : Destination des cases</w:t>
      </w:r>
    </w:p>
    <w:p>
      <w:pPr>
        <w:pStyle w:val="style0"/>
        <w:jc w:val="both"/>
      </w:pPr>
      <w:r>
        <w:rPr>
          <w:rFonts w:ascii="Trebuchet MS" w:hAnsi="Trebuchet MS"/>
          <w:sz w:val="22"/>
          <w:szCs w:val="22"/>
        </w:rPr>
      </w:r>
    </w:p>
    <w:p>
      <w:pPr>
        <w:pStyle w:val="style0"/>
        <w:jc w:val="both"/>
      </w:pPr>
      <w:r>
        <w:rPr>
          <w:rFonts w:ascii="Trebuchet MS" w:hAnsi="Trebuchet MS"/>
          <w:sz w:val="22"/>
          <w:szCs w:val="22"/>
        </w:rPr>
        <w:t xml:space="preserve">Le columbarium est divisé en </w:t>
      </w:r>
      <w:r>
        <w:rPr>
          <w:rFonts w:ascii="Trebuchet MS" w:hAnsi="Trebuchet MS"/>
          <w:b/>
          <w:sz w:val="22"/>
          <w:szCs w:val="22"/>
        </w:rPr>
        <w:t>8</w:t>
      </w:r>
      <w:r>
        <w:rPr>
          <w:rFonts w:ascii="Trebuchet MS" w:hAnsi="Trebuchet MS"/>
          <w:sz w:val="22"/>
          <w:szCs w:val="22"/>
        </w:rPr>
        <w:t xml:space="preserve">  cases destinées à recevoir exclusivement des urnes cinéraires.</w:t>
      </w:r>
    </w:p>
    <w:p>
      <w:pPr>
        <w:pStyle w:val="style0"/>
        <w:jc w:val="both"/>
      </w:pPr>
      <w:r>
        <w:rPr>
          <w:rFonts w:ascii="Trebuchet MS" w:hAnsi="Trebuchet MS"/>
          <w:sz w:val="22"/>
          <w:szCs w:val="22"/>
        </w:rPr>
      </w:r>
    </w:p>
    <w:p>
      <w:pPr>
        <w:pStyle w:val="style0"/>
        <w:jc w:val="both"/>
      </w:pPr>
      <w:r>
        <w:rPr>
          <w:rFonts w:ascii="Trebuchet MS" w:hAnsi="Trebuchet MS"/>
          <w:sz w:val="22"/>
          <w:szCs w:val="22"/>
        </w:rPr>
        <w:t>Les familles peuvent déposer jusqu’à deux urnes dans chaque case</w:t>
      </w:r>
      <w:r>
        <w:rPr>
          <w:rFonts w:ascii="Trebuchet MS" w:cs="Arial" w:hAnsi="Trebuchet MS"/>
          <w:sz w:val="22"/>
          <w:szCs w:val="22"/>
        </w:rPr>
        <w:t>. Elles devront veiller à ce que dimensions de l’urne ou des urnes en hauteur, largeur et profondeur n’excèdent pas celles de l’espace prévu pour son dépôt (largeur 0,35 m, profondeur 0,30 m, hauteur 0,35 m). Dans le cas inverse, les communes ne pourront pas être tenues pour responsables de l’impossibilité de procéder à un tel dépôt.</w:t>
      </w:r>
    </w:p>
    <w:p>
      <w:pPr>
        <w:pStyle w:val="style0"/>
        <w:jc w:val="both"/>
      </w:pPr>
      <w:r>
        <w:rPr>
          <w:rFonts w:ascii="Trebuchet MS" w:cs="Arial" w:hAnsi="Trebuchet MS"/>
          <w:sz w:val="22"/>
          <w:szCs w:val="22"/>
        </w:rPr>
      </w:r>
    </w:p>
    <w:p>
      <w:pPr>
        <w:pStyle w:val="style0"/>
        <w:jc w:val="both"/>
      </w:pPr>
      <w:r>
        <w:rPr>
          <w:rFonts w:ascii="Trebuchet MS" w:cs="Arial" w:hAnsi="Trebuchet MS"/>
          <w:b/>
          <w:sz w:val="22"/>
          <w:szCs w:val="22"/>
          <w:u w:val="single"/>
        </w:rPr>
        <w:t>Article 2 – Attribution</w:t>
      </w:r>
    </w:p>
    <w:p>
      <w:pPr>
        <w:pStyle w:val="style0"/>
        <w:jc w:val="both"/>
      </w:pPr>
      <w:r>
        <w:rPr>
          <w:rFonts w:ascii="Trebuchet MS" w:cs="Arial" w:hAnsi="Trebuchet MS"/>
          <w:sz w:val="22"/>
          <w:szCs w:val="22"/>
        </w:rPr>
      </w:r>
    </w:p>
    <w:p>
      <w:pPr>
        <w:pStyle w:val="style0"/>
        <w:jc w:val="both"/>
      </w:pPr>
      <w:r>
        <w:rPr>
          <w:rFonts w:ascii="Trebuchet MS" w:cs="Arial" w:hAnsi="Trebuchet MS"/>
          <w:sz w:val="22"/>
          <w:szCs w:val="22"/>
        </w:rPr>
        <w:t>Les cases du columbarium sont réservées aux :</w:t>
      </w:r>
    </w:p>
    <w:p>
      <w:pPr>
        <w:pStyle w:val="style0"/>
        <w:jc w:val="both"/>
      </w:pPr>
      <w:r>
        <w:rPr>
          <w:rFonts w:ascii="Trebuchet MS" w:cs="Arial" w:hAnsi="Trebuchet MS"/>
          <w:sz w:val="22"/>
          <w:szCs w:val="22"/>
        </w:rPr>
      </w:r>
    </w:p>
    <w:p>
      <w:pPr>
        <w:pStyle w:val="style27"/>
        <w:numPr>
          <w:ilvl w:val="0"/>
          <w:numId w:val="1"/>
        </w:numPr>
        <w:jc w:val="both"/>
      </w:pPr>
      <w:r>
        <w:rPr>
          <w:rFonts w:ascii="Trebuchet MS" w:hAnsi="Trebuchet MS"/>
          <w:sz w:val="22"/>
          <w:szCs w:val="22"/>
        </w:rPr>
        <w:t>Personnes domiciliées dans la commune, alors même qu’elles seraient décédées dans une autre commune,</w:t>
      </w:r>
    </w:p>
    <w:p>
      <w:pPr>
        <w:pStyle w:val="style27"/>
        <w:numPr>
          <w:ilvl w:val="0"/>
          <w:numId w:val="1"/>
        </w:numPr>
        <w:jc w:val="both"/>
      </w:pPr>
      <w:r>
        <w:rPr>
          <w:rFonts w:ascii="Trebuchet MS" w:hAnsi="Trebuchet MS"/>
          <w:sz w:val="22"/>
          <w:szCs w:val="22"/>
        </w:rPr>
        <w:t>Personnes décédées sur le territoire de la commune, quelque soit leur domicile,</w:t>
      </w:r>
    </w:p>
    <w:p>
      <w:pPr>
        <w:pStyle w:val="style27"/>
        <w:numPr>
          <w:ilvl w:val="0"/>
          <w:numId w:val="1"/>
        </w:numPr>
        <w:jc w:val="both"/>
      </w:pPr>
      <w:r>
        <w:rPr>
          <w:rFonts w:ascii="Trebuchet MS" w:hAnsi="Trebuchet MS"/>
          <w:sz w:val="22"/>
          <w:szCs w:val="22"/>
        </w:rPr>
        <w:t>Personnes décédées dans une autre commune et dont les ascendants ou descendants directs sont domiciliés dans la commune,</w:t>
      </w:r>
    </w:p>
    <w:p>
      <w:pPr>
        <w:pStyle w:val="style27"/>
        <w:numPr>
          <w:ilvl w:val="0"/>
          <w:numId w:val="1"/>
        </w:numPr>
        <w:jc w:val="both"/>
      </w:pPr>
      <w:r>
        <w:rPr>
          <w:rFonts w:ascii="Trebuchet MS" w:hAnsi="Trebuchet MS"/>
          <w:sz w:val="22"/>
          <w:szCs w:val="22"/>
        </w:rPr>
        <w:t>personne non domiciliée dans la commune mais possédant une sépulture de famille.</w:t>
      </w:r>
    </w:p>
    <w:p>
      <w:pPr>
        <w:pStyle w:val="style27"/>
        <w:ind w:hanging="0" w:left="1060" w:right="0"/>
        <w:jc w:val="both"/>
      </w:pPr>
      <w:r>
        <w:rPr>
          <w:rFonts w:ascii="Trebuchet MS" w:hAnsi="Trebuchet MS"/>
          <w:sz w:val="22"/>
          <w:szCs w:val="22"/>
        </w:rPr>
      </w:r>
    </w:p>
    <w:p>
      <w:pPr>
        <w:pStyle w:val="style0"/>
        <w:jc w:val="both"/>
      </w:pPr>
      <w:r>
        <w:rPr>
          <w:rFonts w:ascii="Trebuchet MS" w:hAnsi="Trebuchet MS"/>
          <w:b/>
          <w:sz w:val="22"/>
          <w:szCs w:val="22"/>
          <w:u w:val="single"/>
        </w:rPr>
        <w:t>Article 3 – Droit d’occupation et tarif de concession</w:t>
      </w:r>
    </w:p>
    <w:p>
      <w:pPr>
        <w:pStyle w:val="style0"/>
        <w:jc w:val="both"/>
      </w:pPr>
      <w:r>
        <w:rPr>
          <w:rFonts w:ascii="Trebuchet MS" w:hAnsi="Trebuchet MS"/>
          <w:sz w:val="22"/>
          <w:szCs w:val="22"/>
        </w:rPr>
      </w:r>
    </w:p>
    <w:p>
      <w:pPr>
        <w:pStyle w:val="style0"/>
        <w:jc w:val="both"/>
      </w:pPr>
      <w:r>
        <w:rPr>
          <w:rFonts w:ascii="Trebuchet MS" w:hAnsi="Trebuchet MS"/>
          <w:sz w:val="22"/>
          <w:szCs w:val="22"/>
        </w:rPr>
        <w:t xml:space="preserve">Les cases du columbarium sont concédées pour une durée de </w:t>
      </w:r>
      <w:r>
        <w:rPr>
          <w:rFonts w:ascii="Trebuchet MS" w:hAnsi="Trebuchet MS"/>
          <w:b/>
          <w:sz w:val="22"/>
          <w:szCs w:val="22"/>
        </w:rPr>
        <w:t>30 ans</w:t>
      </w:r>
      <w:r>
        <w:rPr>
          <w:rFonts w:ascii="Trebuchet MS" w:hAnsi="Trebuchet MS"/>
          <w:sz w:val="22"/>
          <w:szCs w:val="22"/>
        </w:rPr>
        <w:t>. Les concessions seront indéfiniment renouvelables aux tarifs fixés par le conseil municipal d’Arraye et d’Ajoncourt et tenus à la disposition du public au secrétariat de Mairie d’ARRAYE ET HAN.</w:t>
      </w:r>
    </w:p>
    <w:p>
      <w:pPr>
        <w:pStyle w:val="style0"/>
        <w:jc w:val="both"/>
      </w:pPr>
      <w:r>
        <w:rPr>
          <w:rFonts w:ascii="Trebuchet MS" w:hAnsi="Trebuchet MS"/>
          <w:sz w:val="22"/>
          <w:szCs w:val="22"/>
        </w:rPr>
      </w:r>
    </w:p>
    <w:p>
      <w:pPr>
        <w:pStyle w:val="style0"/>
        <w:jc w:val="both"/>
      </w:pPr>
      <w:r>
        <w:rPr>
          <w:rFonts w:ascii="Trebuchet MS" w:hAnsi="Trebuchet MS"/>
          <w:sz w:val="22"/>
          <w:szCs w:val="22"/>
        </w:rPr>
        <w:t>Dès la demande d’achat ou de renouvellement, le concessionnaire devra acquitter les droits de concessions aux tarifs en vigueur le jour de la signature.</w:t>
      </w:r>
    </w:p>
    <w:p>
      <w:pPr>
        <w:pStyle w:val="style0"/>
        <w:jc w:val="both"/>
      </w:pPr>
      <w:r>
        <w:rPr>
          <w:rFonts w:ascii="Trebuchet MS" w:hAnsi="Trebuchet MS"/>
          <w:sz w:val="22"/>
          <w:szCs w:val="22"/>
        </w:rPr>
      </w:r>
    </w:p>
    <w:p>
      <w:pPr>
        <w:pStyle w:val="style0"/>
        <w:jc w:val="both"/>
      </w:pPr>
      <w:r>
        <w:rPr>
          <w:rFonts w:ascii="Trebuchet MS" w:hAnsi="Trebuchet MS"/>
          <w:sz w:val="22"/>
          <w:szCs w:val="22"/>
        </w:rPr>
        <w:t>Un acte de concession sera établi en trois exemplaires dont un exemplaire sera remis au concessionnaire, au receveur municipal et à la Mairie d’ARRAYE ET HAN. Les urnes ne peuvent être déposées ou déplacées du columbarium sans autorisation municipale.</w:t>
      </w:r>
    </w:p>
    <w:p>
      <w:pPr>
        <w:pStyle w:val="style0"/>
        <w:jc w:val="both"/>
      </w:pPr>
      <w:r>
        <w:rPr>
          <w:rFonts w:ascii="Trebuchet MS" w:hAnsi="Trebuchet MS"/>
          <w:sz w:val="22"/>
          <w:szCs w:val="22"/>
        </w:rPr>
      </w:r>
    </w:p>
    <w:p>
      <w:pPr>
        <w:pStyle w:val="style0"/>
        <w:jc w:val="both"/>
      </w:pPr>
      <w:r>
        <w:rPr>
          <w:rFonts w:ascii="Trebuchet MS" w:hAnsi="Trebuchet MS"/>
          <w:b/>
          <w:sz w:val="22"/>
          <w:szCs w:val="22"/>
          <w:u w:val="single"/>
        </w:rPr>
        <w:t>Article 4 – Emplacement</w:t>
      </w:r>
    </w:p>
    <w:p>
      <w:pPr>
        <w:pStyle w:val="style0"/>
        <w:jc w:val="both"/>
      </w:pPr>
      <w:r>
        <w:rPr>
          <w:rFonts w:ascii="Trebuchet MS" w:hAnsi="Trebuchet MS"/>
          <w:sz w:val="22"/>
          <w:szCs w:val="22"/>
        </w:rPr>
      </w:r>
    </w:p>
    <w:p>
      <w:pPr>
        <w:pStyle w:val="style0"/>
        <w:jc w:val="both"/>
      </w:pPr>
      <w:r>
        <w:rPr>
          <w:rFonts w:ascii="Trebuchet MS" w:hAnsi="Trebuchet MS"/>
          <w:sz w:val="22"/>
          <w:szCs w:val="22"/>
        </w:rPr>
        <w:t>Le Maire d’Arraye et Han ou son représentant déterminera l’emplacement des cases demandées, le concessionnaire n’ayant en aucun cas le droit de fixer lui-même cet emplacement.</w:t>
      </w:r>
    </w:p>
    <w:p>
      <w:pPr>
        <w:pStyle w:val="style0"/>
        <w:jc w:val="both"/>
      </w:pPr>
      <w:r>
        <w:rPr>
          <w:rFonts w:ascii="Trebuchet MS" w:hAnsi="Trebuchet MS"/>
          <w:sz w:val="22"/>
          <w:szCs w:val="22"/>
        </w:rPr>
      </w:r>
    </w:p>
    <w:p>
      <w:pPr>
        <w:pStyle w:val="style0"/>
        <w:jc w:val="both"/>
      </w:pPr>
      <w:r>
        <w:rPr>
          <w:rFonts w:ascii="Trebuchet MS" w:hAnsi="Trebuchet MS"/>
          <w:b/>
          <w:sz w:val="22"/>
          <w:szCs w:val="22"/>
          <w:u w:val="single"/>
        </w:rPr>
        <w:t>Article 5 – Conditions de dépôt</w:t>
      </w:r>
    </w:p>
    <w:p>
      <w:pPr>
        <w:pStyle w:val="style0"/>
        <w:jc w:val="both"/>
      </w:pPr>
      <w:r>
        <w:rPr>
          <w:rFonts w:ascii="Trebuchet MS" w:hAnsi="Trebuchet MS"/>
          <w:sz w:val="22"/>
          <w:szCs w:val="22"/>
        </w:rPr>
      </w:r>
    </w:p>
    <w:p>
      <w:pPr>
        <w:pStyle w:val="style0"/>
        <w:jc w:val="both"/>
      </w:pPr>
      <w:r>
        <w:rPr>
          <w:rFonts w:ascii="Trebuchet MS" w:hAnsi="Trebuchet MS"/>
          <w:sz w:val="22"/>
          <w:szCs w:val="22"/>
        </w:rPr>
        <w:t>Les urnes peuvent être déposées dans le columbarium à condition qu’un certificat de crémation attestant de l’état civil du défunt soit produit.</w:t>
      </w:r>
    </w:p>
    <w:p>
      <w:pPr>
        <w:pStyle w:val="style0"/>
        <w:jc w:val="both"/>
      </w:pPr>
      <w:r>
        <w:rPr>
          <w:rFonts w:ascii="Trebuchet MS" w:hAnsi="Trebuchet MS"/>
          <w:sz w:val="22"/>
          <w:szCs w:val="22"/>
        </w:rPr>
      </w:r>
    </w:p>
    <w:p>
      <w:pPr>
        <w:pStyle w:val="style0"/>
        <w:jc w:val="both"/>
      </w:pPr>
      <w:r>
        <w:rPr>
          <w:rFonts w:ascii="Trebuchet MS" w:hAnsi="Trebuchet MS"/>
          <w:b/>
          <w:sz w:val="22"/>
          <w:szCs w:val="22"/>
          <w:u w:val="single"/>
        </w:rPr>
        <w:t>Article 6 – Exécution des travaux</w:t>
      </w:r>
    </w:p>
    <w:p>
      <w:pPr>
        <w:pStyle w:val="style0"/>
        <w:jc w:val="both"/>
      </w:pPr>
      <w:r>
        <w:rPr>
          <w:rFonts w:ascii="Trebuchet MS" w:hAnsi="Trebuchet MS"/>
          <w:sz w:val="22"/>
          <w:szCs w:val="22"/>
        </w:rPr>
      </w:r>
    </w:p>
    <w:p>
      <w:pPr>
        <w:pStyle w:val="style0"/>
        <w:jc w:val="both"/>
      </w:pPr>
      <w:r>
        <w:rPr>
          <w:rFonts w:ascii="Trebuchet MS" w:hAnsi="Trebuchet MS"/>
          <w:sz w:val="22"/>
          <w:szCs w:val="22"/>
        </w:rPr>
        <w:t>Les opérations nécessaires à l’utilisation du columbarium (ouverture et fermeture des cases, scellement et fixation des couvercles et plaques) se feront par un marbrier funéraire en présence d’un agent communal.</w:t>
      </w:r>
    </w:p>
    <w:p>
      <w:pPr>
        <w:pStyle w:val="style0"/>
        <w:jc w:val="both"/>
      </w:pPr>
      <w:r>
        <w:rPr>
          <w:rFonts w:ascii="Trebuchet MS" w:hAnsi="Trebuchet MS"/>
          <w:sz w:val="22"/>
          <w:szCs w:val="22"/>
        </w:rPr>
      </w:r>
    </w:p>
    <w:p>
      <w:pPr>
        <w:pStyle w:val="style0"/>
        <w:jc w:val="both"/>
      </w:pPr>
      <w:r>
        <w:rPr>
          <w:rFonts w:ascii="Trebuchet MS" w:hAnsi="Trebuchet MS"/>
          <w:b/>
          <w:sz w:val="22"/>
          <w:szCs w:val="22"/>
          <w:u w:val="single"/>
        </w:rPr>
        <w:t>Article 7 – Renouvellement</w:t>
      </w:r>
    </w:p>
    <w:p>
      <w:pPr>
        <w:pStyle w:val="style0"/>
        <w:jc w:val="both"/>
      </w:pPr>
      <w:r>
        <w:rPr>
          <w:rFonts w:ascii="Trebuchet MS" w:hAnsi="Trebuchet MS"/>
          <w:sz w:val="22"/>
          <w:szCs w:val="22"/>
        </w:rPr>
      </w:r>
    </w:p>
    <w:p>
      <w:pPr>
        <w:pStyle w:val="style0"/>
        <w:jc w:val="both"/>
      </w:pPr>
      <w:r>
        <w:rPr>
          <w:rFonts w:ascii="Trebuchet MS" w:hAnsi="Trebuchet MS"/>
          <w:sz w:val="22"/>
          <w:szCs w:val="22"/>
        </w:rPr>
        <w:t>Les concessions sont renouvelables à expiration de chaque période de validité au prix du tarif en vigueur. En cas de renouvellement, le début de la nouvelle période prendra effet le lendemain de la date d’échéance de la période précédente.</w:t>
      </w:r>
    </w:p>
    <w:p>
      <w:pPr>
        <w:pStyle w:val="style0"/>
        <w:jc w:val="both"/>
      </w:pPr>
      <w:r>
        <w:rPr>
          <w:rFonts w:ascii="Trebuchet MS" w:hAnsi="Trebuchet MS"/>
          <w:sz w:val="22"/>
          <w:szCs w:val="22"/>
        </w:rPr>
      </w:r>
    </w:p>
    <w:p>
      <w:pPr>
        <w:pStyle w:val="style0"/>
        <w:jc w:val="both"/>
      </w:pPr>
      <w:r>
        <w:rPr>
          <w:rFonts w:ascii="Trebuchet MS" w:hAnsi="Trebuchet MS"/>
          <w:sz w:val="22"/>
          <w:szCs w:val="22"/>
        </w:rPr>
        <w:t>Le concessionnaire ou ses héritiers pourront encore user de leur droit à renouvellement à compter de la date d’expiration, pendant une période d’un an. Passé ce délai, la concession redevient propriété de la commune qui pourra procéder à un autre acte de concession, après avoir mis en œuvre la procédure de reprise de la case (voir art. 8 ci-après).</w:t>
      </w:r>
    </w:p>
    <w:p>
      <w:pPr>
        <w:pStyle w:val="style0"/>
        <w:jc w:val="both"/>
      </w:pPr>
      <w:r>
        <w:rPr>
          <w:rFonts w:ascii="Trebuchet MS" w:hAnsi="Trebuchet MS"/>
          <w:sz w:val="22"/>
          <w:szCs w:val="22"/>
        </w:rPr>
      </w:r>
    </w:p>
    <w:p>
      <w:pPr>
        <w:pStyle w:val="style0"/>
        <w:jc w:val="both"/>
      </w:pPr>
      <w:r>
        <w:rPr>
          <w:rFonts w:ascii="Trebuchet MS" w:hAnsi="Trebuchet MS"/>
          <w:sz w:val="22"/>
          <w:szCs w:val="22"/>
          <w:u w:val="single"/>
        </w:rPr>
        <w:t>Article 8 – Reprise de la case</w:t>
      </w:r>
    </w:p>
    <w:p>
      <w:pPr>
        <w:pStyle w:val="style0"/>
        <w:jc w:val="both"/>
      </w:pPr>
      <w:r>
        <w:rPr>
          <w:rFonts w:ascii="Trebuchet MS" w:hAnsi="Trebuchet MS"/>
          <w:sz w:val="22"/>
          <w:szCs w:val="22"/>
        </w:rPr>
      </w:r>
    </w:p>
    <w:p>
      <w:pPr>
        <w:pStyle w:val="style0"/>
        <w:jc w:val="both"/>
      </w:pPr>
      <w:r>
        <w:rPr>
          <w:rFonts w:ascii="Trebuchet MS" w:hAnsi="Trebuchet MS"/>
          <w:sz w:val="22"/>
          <w:szCs w:val="22"/>
        </w:rPr>
        <w:t>A l’expiration du délai prévu par la loi, l’administration municipale d’Arraye et Han pourra ordonner la reprise de la case concédée. La décision de reprise sera portée à la connaissance du public par voie d’affichage, conformément au Code Général des Collectivités Territoriales.</w:t>
      </w:r>
    </w:p>
    <w:p>
      <w:pPr>
        <w:pStyle w:val="style0"/>
        <w:jc w:val="both"/>
      </w:pPr>
      <w:r>
        <w:rPr>
          <w:rFonts w:ascii="Trebuchet MS" w:hAnsi="Trebuchet MS"/>
          <w:sz w:val="22"/>
          <w:szCs w:val="22"/>
        </w:rPr>
      </w:r>
    </w:p>
    <w:p>
      <w:pPr>
        <w:pStyle w:val="style0"/>
        <w:jc w:val="both"/>
      </w:pPr>
      <w:r>
        <w:rPr>
          <w:rFonts w:ascii="Trebuchet MS" w:hAnsi="Trebuchet MS"/>
          <w:sz w:val="22"/>
          <w:szCs w:val="22"/>
        </w:rPr>
        <w:t>Les familles devront faire enlever, dans un délai de deux mois à compter de la date de publication de la date de reprise, les urnes contenues dans les cases. A l’expiration de ce délai, la municipalité les enlèvera d’office.</w:t>
      </w:r>
    </w:p>
    <w:p>
      <w:pPr>
        <w:pStyle w:val="style0"/>
        <w:jc w:val="both"/>
      </w:pPr>
      <w:r>
        <w:rPr>
          <w:rFonts w:ascii="Trebuchet MS" w:hAnsi="Trebuchet MS"/>
          <w:sz w:val="22"/>
          <w:szCs w:val="22"/>
        </w:rPr>
      </w:r>
    </w:p>
    <w:p>
      <w:pPr>
        <w:pStyle w:val="style0"/>
        <w:jc w:val="both"/>
      </w:pPr>
      <w:r>
        <w:rPr>
          <w:rFonts w:ascii="Trebuchet MS" w:hAnsi="Trebuchet MS"/>
          <w:sz w:val="22"/>
          <w:szCs w:val="22"/>
        </w:rPr>
        <w:t xml:space="preserve">Les cendres seront alors dispersées dans le jardin du souvenir et l’urne sera détruite. </w:t>
      </w:r>
    </w:p>
    <w:p>
      <w:pPr>
        <w:pStyle w:val="style0"/>
        <w:jc w:val="both"/>
      </w:pPr>
      <w:r>
        <w:rPr>
          <w:rFonts w:ascii="Trebuchet MS" w:hAnsi="Trebuchet MS"/>
          <w:sz w:val="22"/>
          <w:szCs w:val="22"/>
        </w:rPr>
      </w:r>
    </w:p>
    <w:p>
      <w:pPr>
        <w:pStyle w:val="style0"/>
        <w:jc w:val="both"/>
      </w:pPr>
      <w:r>
        <w:rPr>
          <w:rFonts w:ascii="Trebuchet MS" w:hAnsi="Trebuchet MS"/>
          <w:b/>
          <w:sz w:val="22"/>
          <w:szCs w:val="22"/>
          <w:u w:val="single"/>
        </w:rPr>
        <w:t>Article 9 – rétrocession de la case à la commune</w:t>
      </w:r>
    </w:p>
    <w:p>
      <w:pPr>
        <w:pStyle w:val="style0"/>
        <w:jc w:val="both"/>
      </w:pPr>
      <w:r>
        <w:rPr>
          <w:rFonts w:ascii="Trebuchet MS" w:hAnsi="Trebuchet MS"/>
          <w:sz w:val="22"/>
          <w:szCs w:val="22"/>
        </w:rPr>
      </w:r>
    </w:p>
    <w:p>
      <w:pPr>
        <w:pStyle w:val="style0"/>
        <w:jc w:val="both"/>
      </w:pPr>
      <w:r>
        <w:rPr>
          <w:rFonts w:ascii="Trebuchet MS" w:hAnsi="Trebuchet MS"/>
          <w:sz w:val="22"/>
          <w:szCs w:val="22"/>
        </w:rPr>
        <w:t>Cette rétrocession des cases concédées ne pourra être acceptée que dans la mesure où elle émanera des titulaires originaux.</w:t>
      </w:r>
    </w:p>
    <w:p>
      <w:pPr>
        <w:pStyle w:val="style0"/>
        <w:jc w:val="both"/>
      </w:pPr>
      <w:r>
        <w:rPr>
          <w:rFonts w:ascii="Trebuchet MS" w:hAnsi="Trebuchet MS"/>
          <w:sz w:val="22"/>
          <w:szCs w:val="22"/>
        </w:rPr>
      </w:r>
    </w:p>
    <w:p>
      <w:pPr>
        <w:pStyle w:val="style0"/>
        <w:jc w:val="both"/>
      </w:pPr>
      <w:r>
        <w:rPr>
          <w:rFonts w:ascii="Trebuchet MS" w:hAnsi="Trebuchet MS"/>
          <w:b/>
          <w:sz w:val="22"/>
          <w:szCs w:val="22"/>
          <w:u w:val="single"/>
        </w:rPr>
        <w:t>Article 10 – Expression de la mémoire</w:t>
      </w:r>
    </w:p>
    <w:p>
      <w:pPr>
        <w:pStyle w:val="style0"/>
        <w:jc w:val="both"/>
      </w:pPr>
      <w:r>
        <w:rPr>
          <w:rFonts w:ascii="Trebuchet MS" w:hAnsi="Trebuchet MS"/>
          <w:sz w:val="22"/>
          <w:szCs w:val="22"/>
        </w:rPr>
      </w:r>
    </w:p>
    <w:p>
      <w:pPr>
        <w:pStyle w:val="style0"/>
        <w:jc w:val="both"/>
      </w:pPr>
      <w:r>
        <w:rPr>
          <w:rFonts w:ascii="Trebuchet MS" w:hAnsi="Trebuchet MS"/>
          <w:sz w:val="22"/>
          <w:szCs w:val="22"/>
        </w:rPr>
        <w:t>Dans un souci de respect et de décence de ce lieu de recueillement, les gravures sur les plaques funéraires devront être réalisées suivant les prescriptions communales à savoir :</w:t>
      </w:r>
    </w:p>
    <w:p>
      <w:pPr>
        <w:pStyle w:val="style0"/>
        <w:jc w:val="both"/>
      </w:pPr>
      <w:r>
        <w:rPr>
          <w:rFonts w:ascii="Trebuchet MS" w:hAnsi="Trebuchet MS"/>
          <w:sz w:val="22"/>
          <w:szCs w:val="22"/>
        </w:rPr>
      </w:r>
    </w:p>
    <w:p>
      <w:pPr>
        <w:pStyle w:val="style27"/>
        <w:numPr>
          <w:ilvl w:val="0"/>
          <w:numId w:val="1"/>
        </w:numPr>
        <w:jc w:val="both"/>
      </w:pPr>
      <w:r>
        <w:rPr>
          <w:rFonts w:ascii="Trebuchet MS" w:hAnsi="Trebuchet MS"/>
          <w:sz w:val="22"/>
          <w:szCs w:val="22"/>
        </w:rPr>
        <w:t>Le format des plaques en marbre fixées sur les portes des cases est normalisé, la hauteur étant fixée à 50 cm et la largeur à 50 cm,</w:t>
      </w:r>
    </w:p>
    <w:p>
      <w:pPr>
        <w:pStyle w:val="style27"/>
        <w:ind w:hanging="0" w:left="1060" w:right="0"/>
        <w:jc w:val="both"/>
      </w:pPr>
      <w:r>
        <w:rPr>
          <w:rFonts w:ascii="Trebuchet MS" w:hAnsi="Trebuchet MS"/>
          <w:sz w:val="22"/>
          <w:szCs w:val="22"/>
        </w:rPr>
      </w:r>
    </w:p>
    <w:p>
      <w:pPr>
        <w:pStyle w:val="style27"/>
        <w:numPr>
          <w:ilvl w:val="0"/>
          <w:numId w:val="1"/>
        </w:numPr>
        <w:jc w:val="both"/>
      </w:pPr>
      <w:r>
        <w:rPr>
          <w:rFonts w:ascii="Trebuchet MS" w:hAnsi="Trebuchet MS"/>
          <w:sz w:val="22"/>
          <w:szCs w:val="22"/>
        </w:rPr>
        <w:t>Les seules mentions autorisées sur une plaque, gravées en relief, sont les nom (nom de jeune fille suivi du nom marital pour les dames), prénom, années de naissance et de décès,</w:t>
      </w:r>
    </w:p>
    <w:p>
      <w:pPr>
        <w:pStyle w:val="style0"/>
        <w:jc w:val="both"/>
      </w:pPr>
      <w:r>
        <w:rPr>
          <w:rFonts w:ascii="Trebuchet MS" w:hAnsi="Trebuchet MS"/>
          <w:sz w:val="22"/>
          <w:szCs w:val="22"/>
        </w:rPr>
      </w:r>
    </w:p>
    <w:p>
      <w:pPr>
        <w:pStyle w:val="style0"/>
        <w:jc w:val="both"/>
      </w:pPr>
      <w:r>
        <w:rPr>
          <w:rFonts w:ascii="Trebuchet MS" w:hAnsi="Trebuchet MS"/>
          <w:sz w:val="22"/>
          <w:szCs w:val="22"/>
        </w:rPr>
      </w:r>
    </w:p>
    <w:p>
      <w:pPr>
        <w:pStyle w:val="style27"/>
        <w:numPr>
          <w:ilvl w:val="0"/>
          <w:numId w:val="1"/>
        </w:numPr>
        <w:jc w:val="both"/>
      </w:pPr>
      <w:r>
        <w:rPr>
          <w:rFonts w:ascii="Trebuchet MS" w:hAnsi="Trebuchet MS"/>
          <w:sz w:val="22"/>
          <w:szCs w:val="22"/>
        </w:rPr>
        <w:t>Des symboles ou figurations personnalisés sont possibles (appartenance religieuse ou philosophique, élément de mémoire du défunt) dans deux limites : une limite d’espace (un carré de dimension maximum de 10 cm x 10 cm) et une limite liée à la nature du symbole ou de la figuration. Les symboles et autres représentations devront se conformer aux règles de décence, de respect des défunts et de civisme. Ils ne devront pas porter atteinte à la morale publique.</w:t>
      </w:r>
    </w:p>
    <w:p>
      <w:pPr>
        <w:pStyle w:val="style0"/>
        <w:jc w:val="both"/>
      </w:pPr>
      <w:r>
        <w:rPr>
          <w:rFonts w:ascii="Trebuchet MS" w:hAnsi="Trebuchet MS"/>
          <w:sz w:val="22"/>
          <w:szCs w:val="22"/>
        </w:rPr>
      </w:r>
    </w:p>
    <w:p>
      <w:pPr>
        <w:pStyle w:val="style0"/>
        <w:jc w:val="both"/>
      </w:pPr>
      <w:r>
        <w:rPr>
          <w:rFonts w:ascii="Trebuchet MS" w:hAnsi="Trebuchet MS"/>
          <w:sz w:val="22"/>
          <w:szCs w:val="22"/>
        </w:rPr>
        <w:t>Comme chaque case peut accueillir deux urnes, la disposition des gravures devra permettre l’inscription de deux mémoires. La famille assure les frais d’achat de la plaque et de sa gravure.</w:t>
      </w:r>
    </w:p>
    <w:p>
      <w:pPr>
        <w:pStyle w:val="style0"/>
        <w:jc w:val="both"/>
      </w:pPr>
      <w:r>
        <w:rPr>
          <w:rFonts w:ascii="Trebuchet MS" w:hAnsi="Trebuchet MS"/>
          <w:sz w:val="22"/>
          <w:szCs w:val="22"/>
        </w:rPr>
      </w:r>
    </w:p>
    <w:p>
      <w:pPr>
        <w:pStyle w:val="style0"/>
        <w:jc w:val="both"/>
      </w:pPr>
      <w:r>
        <w:rPr>
          <w:rFonts w:ascii="Trebuchet MS" w:hAnsi="Trebuchet MS"/>
          <w:sz w:val="22"/>
          <w:szCs w:val="22"/>
        </w:rPr>
        <w:t>Il est autorisé également la pose sur la plaque d’un soliflore.</w:t>
      </w:r>
    </w:p>
    <w:p>
      <w:pPr>
        <w:pStyle w:val="style0"/>
        <w:jc w:val="both"/>
      </w:pPr>
      <w:r>
        <w:rPr>
          <w:rFonts w:ascii="Trebuchet MS" w:hAnsi="Trebuchet MS"/>
          <w:sz w:val="22"/>
        </w:rPr>
      </w:r>
    </w:p>
    <w:p>
      <w:pPr>
        <w:pStyle w:val="style0"/>
        <w:jc w:val="both"/>
      </w:pPr>
      <w:r>
        <w:rPr>
          <w:rFonts w:ascii="Trebuchet MS" w:hAnsi="Trebuchet MS"/>
          <w:b/>
          <w:sz w:val="22"/>
          <w:u w:val="single"/>
        </w:rPr>
        <w:t>Article 11 – Fleurissement</w:t>
      </w:r>
    </w:p>
    <w:p>
      <w:pPr>
        <w:pStyle w:val="style0"/>
        <w:jc w:val="both"/>
      </w:pPr>
      <w:r>
        <w:rPr>
          <w:rFonts w:ascii="Trebuchet MS" w:hAnsi="Trebuchet MS"/>
          <w:sz w:val="22"/>
        </w:rPr>
      </w:r>
    </w:p>
    <w:p>
      <w:pPr>
        <w:pStyle w:val="style0"/>
        <w:jc w:val="both"/>
      </w:pPr>
      <w:r>
        <w:rPr>
          <w:rFonts w:ascii="Trebuchet MS" w:hAnsi="Trebuchet MS"/>
          <w:sz w:val="22"/>
        </w:rPr>
        <w:t>Le fleurissement devra rester discret et ne doit pas déborder sur les autres emplacements, ni en dehors de l’espace prévu à chaque case, ni autour du columbarium.</w:t>
      </w:r>
    </w:p>
    <w:p>
      <w:pPr>
        <w:pStyle w:val="style0"/>
        <w:jc w:val="both"/>
      </w:pPr>
      <w:r>
        <w:rPr>
          <w:rFonts w:ascii="Trebuchet MS" w:hAnsi="Trebuchet MS"/>
          <w:sz w:val="22"/>
        </w:rPr>
      </w:r>
    </w:p>
    <w:p>
      <w:pPr>
        <w:pStyle w:val="style0"/>
        <w:jc w:val="both"/>
      </w:pPr>
      <w:r>
        <w:rPr>
          <w:rFonts w:ascii="Trebuchet MS" w:hAnsi="Trebuchet MS"/>
          <w:sz w:val="22"/>
        </w:rPr>
        <w:t>Tout objet ou attribut funéraire sont interdits.</w:t>
      </w:r>
    </w:p>
    <w:p>
      <w:pPr>
        <w:pStyle w:val="style0"/>
        <w:jc w:val="both"/>
      </w:pPr>
      <w:r>
        <w:rPr>
          <w:rFonts w:ascii="Trebuchet MS" w:hAnsi="Trebuchet MS"/>
          <w:sz w:val="22"/>
        </w:rPr>
      </w:r>
    </w:p>
    <w:p>
      <w:pPr>
        <w:pStyle w:val="style0"/>
        <w:jc w:val="both"/>
      </w:pPr>
      <w:r>
        <w:rPr>
          <w:rFonts w:ascii="Trebuchet MS" w:hAnsi="Trebuchet MS"/>
          <w:b/>
          <w:sz w:val="22"/>
          <w:u w:val="single"/>
        </w:rPr>
        <w:t>Article 12 – Déplacement des urnes</w:t>
      </w:r>
    </w:p>
    <w:p>
      <w:pPr>
        <w:pStyle w:val="style0"/>
        <w:jc w:val="both"/>
      </w:pPr>
      <w:r>
        <w:rPr>
          <w:rFonts w:ascii="Trebuchet MS" w:hAnsi="Trebuchet MS"/>
          <w:sz w:val="22"/>
        </w:rPr>
      </w:r>
    </w:p>
    <w:p>
      <w:pPr>
        <w:pStyle w:val="style0"/>
        <w:jc w:val="both"/>
      </w:pPr>
      <w:r>
        <w:rPr>
          <w:rFonts w:ascii="Trebuchet MS" w:hAnsi="Trebuchet MS"/>
          <w:sz w:val="22"/>
        </w:rPr>
        <w:t>Les urnes ne pourront être déplacées du columbarium avant l’expiration de la concession sans demande écrite auprès des municipalités.</w:t>
      </w:r>
    </w:p>
    <w:p>
      <w:pPr>
        <w:pStyle w:val="style0"/>
        <w:jc w:val="both"/>
      </w:pPr>
      <w:r>
        <w:rPr>
          <w:rFonts w:ascii="Trebuchet MS" w:hAnsi="Trebuchet MS"/>
          <w:sz w:val="22"/>
        </w:rPr>
      </w:r>
    </w:p>
    <w:p>
      <w:pPr>
        <w:pStyle w:val="style0"/>
        <w:jc w:val="center"/>
      </w:pPr>
      <w:r>
        <w:rPr>
          <w:rFonts w:ascii="Trebuchet MS" w:hAnsi="Trebuchet MS"/>
          <w:b/>
        </w:rPr>
        <w:t>CHAPITRE 2 : LE JARDIN DU SOUVENIR</w:t>
      </w:r>
    </w:p>
    <w:p>
      <w:pPr>
        <w:pStyle w:val="style0"/>
        <w:jc w:val="both"/>
      </w:pPr>
      <w:r>
        <w:rPr>
          <w:rFonts w:ascii="Trebuchet MS" w:hAnsi="Trebuchet MS"/>
          <w:sz w:val="20"/>
        </w:rPr>
      </w:r>
    </w:p>
    <w:p>
      <w:pPr>
        <w:pStyle w:val="style0"/>
        <w:jc w:val="both"/>
      </w:pPr>
      <w:r>
        <w:rPr>
          <w:rFonts w:ascii="Trebuchet MS" w:hAnsi="Trebuchet MS"/>
          <w:b/>
          <w:sz w:val="22"/>
          <w:u w:val="single"/>
        </w:rPr>
        <w:t>Article 1 – Dispersion des cendres</w:t>
      </w:r>
    </w:p>
    <w:p>
      <w:pPr>
        <w:pStyle w:val="style0"/>
        <w:jc w:val="both"/>
      </w:pPr>
      <w:r>
        <w:rPr>
          <w:rFonts w:ascii="Trebuchet MS" w:hAnsi="Trebuchet MS"/>
          <w:sz w:val="22"/>
        </w:rPr>
      </w:r>
    </w:p>
    <w:p>
      <w:pPr>
        <w:pStyle w:val="style0"/>
        <w:jc w:val="both"/>
      </w:pPr>
      <w:r>
        <w:rPr>
          <w:rFonts w:ascii="Trebuchet MS" w:hAnsi="Trebuchet MS"/>
          <w:sz w:val="22"/>
        </w:rPr>
        <w:t>Un espace est prévu pour la dispersion des cendres à l’intention des personnes qui en ont manifesté la volonté. Il est entretenu et fleuri par les soins de la commune d’ARRAYE ET HAN.</w:t>
      </w:r>
    </w:p>
    <w:p>
      <w:pPr>
        <w:pStyle w:val="style0"/>
        <w:jc w:val="both"/>
      </w:pPr>
      <w:r>
        <w:rPr>
          <w:rFonts w:ascii="Trebuchet MS" w:hAnsi="Trebuchet MS"/>
          <w:sz w:val="22"/>
        </w:rPr>
      </w:r>
    </w:p>
    <w:p>
      <w:pPr>
        <w:pStyle w:val="style0"/>
        <w:jc w:val="both"/>
      </w:pPr>
      <w:r>
        <w:rPr>
          <w:rFonts w:ascii="Trebuchet MS" w:hAnsi="Trebuchet MS"/>
          <w:sz w:val="22"/>
        </w:rPr>
        <w:t>La dispersion des cendres ne sera accordée par le Maire d’Arraye et Han, ou son représentant, que sur justification de l’expression écrite des dernières volontés du défunt ou, à défaut, sur la demande du ou des membres de la famille ayant qualité pour pourvoir aux obsèques ou à la crémation.</w:t>
      </w:r>
    </w:p>
    <w:p>
      <w:pPr>
        <w:pStyle w:val="style0"/>
        <w:jc w:val="both"/>
      </w:pPr>
      <w:r>
        <w:rPr>
          <w:rFonts w:ascii="Trebuchet MS" w:hAnsi="Trebuchet MS"/>
          <w:sz w:val="22"/>
        </w:rPr>
      </w:r>
    </w:p>
    <w:p>
      <w:pPr>
        <w:pStyle w:val="style0"/>
        <w:jc w:val="both"/>
      </w:pPr>
      <w:r>
        <w:rPr>
          <w:rFonts w:ascii="Trebuchet MS" w:hAnsi="Trebuchet MS"/>
          <w:sz w:val="22"/>
        </w:rPr>
        <w:t>Toute dispersion fera l’objet d’un enregistrement sur un registre dans les services municipaux.</w:t>
      </w:r>
    </w:p>
    <w:p>
      <w:pPr>
        <w:pStyle w:val="style0"/>
        <w:jc w:val="both"/>
      </w:pPr>
      <w:r>
        <w:rPr>
          <w:rFonts w:ascii="Trebuchet MS" w:hAnsi="Trebuchet MS"/>
          <w:sz w:val="22"/>
        </w:rPr>
      </w:r>
    </w:p>
    <w:p>
      <w:pPr>
        <w:pStyle w:val="style0"/>
        <w:jc w:val="both"/>
      </w:pPr>
      <w:r>
        <w:rPr>
          <w:rFonts w:ascii="Trebuchet MS" w:hAnsi="Trebuchet MS"/>
          <w:b/>
          <w:sz w:val="22"/>
          <w:u w:val="single"/>
        </w:rPr>
        <w:t>Article 2 – Fleurissement</w:t>
      </w:r>
    </w:p>
    <w:p>
      <w:pPr>
        <w:pStyle w:val="style0"/>
        <w:jc w:val="both"/>
      </w:pPr>
      <w:r>
        <w:rPr>
          <w:rFonts w:ascii="Trebuchet MS" w:hAnsi="Trebuchet MS"/>
          <w:sz w:val="22"/>
        </w:rPr>
      </w:r>
    </w:p>
    <w:p>
      <w:pPr>
        <w:pStyle w:val="style0"/>
        <w:jc w:val="both"/>
      </w:pPr>
      <w:r>
        <w:rPr>
          <w:rFonts w:ascii="Trebuchet MS" w:hAnsi="Trebuchet MS"/>
          <w:sz w:val="22"/>
        </w:rPr>
        <w:t>Toutes plantation, tout signe d’appartenance de l’espace, tout élément distinctif toute marque de reconnaissance, sont interdits dans le Jardin du Souvenir.</w:t>
      </w:r>
    </w:p>
    <w:p>
      <w:pPr>
        <w:pStyle w:val="style0"/>
        <w:jc w:val="both"/>
      </w:pPr>
      <w:r>
        <w:rPr>
          <w:rFonts w:ascii="Trebuchet MS" w:hAnsi="Trebuchet MS"/>
          <w:sz w:val="22"/>
        </w:rPr>
      </w:r>
    </w:p>
    <w:p>
      <w:pPr>
        <w:pStyle w:val="style0"/>
        <w:jc w:val="both"/>
      </w:pPr>
      <w:r>
        <w:rPr>
          <w:rFonts w:ascii="Trebuchet MS" w:hAnsi="Trebuchet MS"/>
          <w:b/>
          <w:sz w:val="22"/>
          <w:u w:val="single"/>
        </w:rPr>
        <w:t>Article 3 – Décoration</w:t>
      </w:r>
    </w:p>
    <w:p>
      <w:pPr>
        <w:pStyle w:val="style0"/>
        <w:jc w:val="both"/>
      </w:pPr>
      <w:r>
        <w:rPr>
          <w:rFonts w:ascii="Trebuchet MS" w:hAnsi="Trebuchet MS"/>
          <w:sz w:val="22"/>
        </w:rPr>
      </w:r>
    </w:p>
    <w:p>
      <w:pPr>
        <w:pStyle w:val="style0"/>
        <w:jc w:val="both"/>
      </w:pPr>
      <w:r>
        <w:rPr>
          <w:rFonts w:ascii="Trebuchet MS" w:hAnsi="Trebuchet MS"/>
          <w:sz w:val="22"/>
        </w:rPr>
        <w:t>La pose d’objet de toute nature sur la pelouse (fleurs artificielles, vases, plaques…) est interdite. En cas de non respect, ils seront enlevés sans préavis.</w:t>
      </w:r>
    </w:p>
    <w:p>
      <w:pPr>
        <w:pStyle w:val="style0"/>
        <w:jc w:val="both"/>
      </w:pPr>
      <w:r>
        <w:rPr>
          <w:rFonts w:ascii="Trebuchet MS" w:hAnsi="Trebuchet MS"/>
          <w:sz w:val="22"/>
        </w:rPr>
      </w:r>
    </w:p>
    <w:p>
      <w:pPr>
        <w:pStyle w:val="style0"/>
        <w:jc w:val="both"/>
      </w:pPr>
      <w:r>
        <w:rPr>
          <w:rFonts w:ascii="Trebuchet MS" w:hAnsi="Trebuchet MS"/>
          <w:sz w:val="22"/>
        </w:rPr>
        <w:t>Seules les fleurs coupées naturelles peuvent y être déposées le jour de la dispersion. Elles seront enlevées périodiquement par le personnel communal.</w:t>
      </w:r>
    </w:p>
    <w:p>
      <w:pPr>
        <w:pStyle w:val="style0"/>
        <w:jc w:val="both"/>
      </w:pPr>
      <w:r>
        <w:rPr>
          <w:rFonts w:ascii="Trebuchet MS" w:hAnsi="Trebuchet MS"/>
          <w:sz w:val="22"/>
        </w:rPr>
      </w:r>
    </w:p>
    <w:p>
      <w:pPr>
        <w:pStyle w:val="style0"/>
        <w:jc w:val="both"/>
      </w:pPr>
      <w:r>
        <w:rPr>
          <w:rFonts w:ascii="Trebuchet MS" w:hAnsi="Trebuchet MS"/>
          <w:b/>
          <w:sz w:val="22"/>
          <w:u w:val="single"/>
        </w:rPr>
        <w:t>Article 4 – Réclamation</w:t>
      </w:r>
    </w:p>
    <w:p>
      <w:pPr>
        <w:pStyle w:val="style0"/>
        <w:jc w:val="both"/>
      </w:pPr>
      <w:r>
        <w:rPr>
          <w:rFonts w:ascii="Trebuchet MS" w:hAnsi="Trebuchet MS"/>
          <w:sz w:val="22"/>
        </w:rPr>
      </w:r>
    </w:p>
    <w:p>
      <w:pPr>
        <w:pStyle w:val="style0"/>
        <w:jc w:val="both"/>
      </w:pPr>
      <w:r>
        <w:rPr>
          <w:rFonts w:ascii="Trebuchet MS" w:hAnsi="Trebuchet MS"/>
          <w:sz w:val="22"/>
        </w:rPr>
        <w:t>Toute réclamation doit faire l’objet d’un courrier adressé à Monsieur le Maire d’ARRAYE ET HAN.</w:t>
      </w:r>
    </w:p>
    <w:p>
      <w:pPr>
        <w:pStyle w:val="style0"/>
        <w:jc w:val="both"/>
      </w:pPr>
      <w:r>
        <w:rPr>
          <w:rFonts w:ascii="Trebuchet MS" w:hAnsi="Trebuchet MS"/>
          <w:sz w:val="22"/>
        </w:rPr>
      </w:r>
    </w:p>
    <w:p>
      <w:pPr>
        <w:pStyle w:val="style0"/>
        <w:jc w:val="both"/>
      </w:pPr>
      <w:r>
        <w:rPr>
          <w:rFonts w:ascii="Trebuchet MS" w:hAnsi="Trebuchet MS"/>
          <w:b/>
          <w:sz w:val="22"/>
          <w:u w:val="single"/>
        </w:rPr>
        <w:t>Article 5 – Exécution du présent règlement</w:t>
      </w:r>
    </w:p>
    <w:p>
      <w:pPr>
        <w:pStyle w:val="style0"/>
        <w:jc w:val="both"/>
      </w:pPr>
      <w:r>
        <w:rPr>
          <w:rFonts w:ascii="Trebuchet MS" w:hAnsi="Trebuchet MS"/>
          <w:b/>
          <w:sz w:val="22"/>
          <w:u w:val="single"/>
        </w:rPr>
      </w:r>
    </w:p>
    <w:p>
      <w:pPr>
        <w:pStyle w:val="style0"/>
        <w:jc w:val="both"/>
      </w:pPr>
      <w:r>
        <w:rPr>
          <w:rFonts w:ascii="Trebuchet MS" w:hAnsi="Trebuchet MS"/>
          <w:sz w:val="22"/>
        </w:rPr>
        <w:t xml:space="preserve">Le présent règlement est applicable à compter </w:t>
      </w:r>
      <w:r>
        <w:rPr>
          <w:rFonts w:ascii="Trebuchet MS" w:hAnsi="Trebuchet MS"/>
          <w:b/>
          <w:sz w:val="22"/>
        </w:rPr>
        <w:t>du 1</w:t>
      </w:r>
      <w:r>
        <w:rPr>
          <w:rFonts w:ascii="Trebuchet MS" w:hAnsi="Trebuchet MS"/>
          <w:b/>
          <w:sz w:val="22"/>
          <w:vertAlign w:val="superscript"/>
        </w:rPr>
        <w:t>er</w:t>
      </w:r>
      <w:r>
        <w:rPr>
          <w:rFonts w:ascii="Trebuchet MS" w:hAnsi="Trebuchet MS"/>
          <w:b/>
          <w:sz w:val="22"/>
        </w:rPr>
        <w:t xml:space="preserve"> janvier 2013</w:t>
      </w:r>
      <w:r>
        <w:rPr>
          <w:rFonts w:ascii="Trebuchet MS" w:hAnsi="Trebuchet MS"/>
          <w:sz w:val="22"/>
        </w:rPr>
        <w:t xml:space="preserve"> et pourra être modifié par arrêté.</w:t>
      </w:r>
    </w:p>
    <w:sectPr>
      <w:type w:val="continuous"/>
      <w:pgSz w:h="16838" w:w="11906"/>
      <w:pgMar w:bottom="993" w:footer="720" w:gutter="0" w:header="0" w:left="1100" w:right="906" w:top="679"/>
      <w:pgNumType w:fmt="decimal"/>
      <w:formProt w:val="false"/>
      <w:textDirection w:val="lrTb"/>
      <w:docGrid w:charSpace="0" w:linePitch="272"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Georgia">
    <w:charset w:val="00"/>
    <w:family w:val="roman"/>
    <w:pitch w:val="variable"/>
  </w:font>
  <w:font w:name="Tahoma">
    <w:charset w:val="00"/>
    <w:family w:val="roman"/>
    <w:pitch w:val="variable"/>
  </w:font>
  <w:font w:name="Vivaldi">
    <w:charset w:val="00"/>
    <w:family w:val="roman"/>
    <w:pitch w:val="variable"/>
  </w:font>
  <w:font w:name="Bradley Hand ITC">
    <w:charset w:val="00"/>
    <w:family w:val="roman"/>
    <w:pitch w:val="variable"/>
  </w:font>
  <w:font w:name="Trebuchet MS">
    <w:charset w:val="00"/>
    <w:family w:val="roman"/>
    <w:pitch w:val="variable"/>
  </w:font>
  <w:font w:name="Trebuchet MS">
    <w:charset w:val="80"/>
    <w:family w:val="swiss"/>
    <w:pitch w:val="variable"/>
  </w:font>
  <w:font w:name="Courier New">
    <w:charset w:val="80"/>
    <w:family w:val="modern"/>
    <w:pitch w:val="fixed"/>
  </w:font>
  <w:font w:name="Wingdings">
    <w:charset w:val="02"/>
    <w:family w:val="auto"/>
    <w:pitch w:val="variable"/>
  </w:font>
</w:fonts>
</file>

<file path=word/numbering.xml><?xml version="1.0" encoding="utf-8"?>
<w:numbering xmlns:w="http://schemas.openxmlformats.org/wordprocessingml/2006/main">
  <w:abstractNum w:abstractNumId="1">
    <w:lvl w:ilvl="0">
      <w:start w:val="1"/>
      <w:numFmt w:val="bullet"/>
      <w:lvlText w:val="-"/>
      <w:lvlJc w:val="left"/>
      <w:pPr>
        <w:ind w:hanging="360" w:left="1060"/>
      </w:pPr>
      <w:rPr>
        <w:rFonts w:ascii="Trebuchet MS" w:cs="Trebuchet MS" w:hAnsi="Trebuchet MS" w:hint="default"/>
      </w:rPr>
    </w:lvl>
    <w:lvl w:ilvl="1">
      <w:start w:val="1"/>
      <w:numFmt w:val="bullet"/>
      <w:lvlText w:val="o"/>
      <w:lvlJc w:val="left"/>
      <w:pPr>
        <w:ind w:hanging="360" w:left="1780"/>
      </w:pPr>
      <w:rPr>
        <w:rFonts w:ascii="Courier New" w:cs="Courier New" w:hAnsi="Courier New" w:hint="default"/>
      </w:rPr>
    </w:lvl>
    <w:lvl w:ilvl="2">
      <w:start w:val="1"/>
      <w:numFmt w:val="bullet"/>
      <w:lvlText w:val=""/>
      <w:lvlJc w:val="left"/>
      <w:pPr>
        <w:ind w:hanging="360" w:left="2500"/>
      </w:pPr>
      <w:rPr>
        <w:rFonts w:ascii="Wingdings" w:cs="Wingdings" w:hAnsi="Wingdings" w:hint="default"/>
      </w:rPr>
    </w:lvl>
    <w:lvl w:ilvl="3">
      <w:start w:val="1"/>
      <w:numFmt w:val="bullet"/>
      <w:lvlText w:val=""/>
      <w:lvlJc w:val="left"/>
      <w:pPr>
        <w:ind w:hanging="360" w:left="3220"/>
      </w:pPr>
      <w:rPr>
        <w:rFonts w:ascii="Symbol" w:cs="Symbol" w:hAnsi="Symbol" w:hint="default"/>
      </w:rPr>
    </w:lvl>
    <w:lvl w:ilvl="4">
      <w:start w:val="1"/>
      <w:numFmt w:val="bullet"/>
      <w:lvlText w:val="o"/>
      <w:lvlJc w:val="left"/>
      <w:pPr>
        <w:ind w:hanging="360" w:left="3940"/>
      </w:pPr>
      <w:rPr>
        <w:rFonts w:ascii="Courier New" w:cs="Courier New" w:hAnsi="Courier New" w:hint="default"/>
      </w:rPr>
    </w:lvl>
    <w:lvl w:ilvl="5">
      <w:start w:val="1"/>
      <w:numFmt w:val="bullet"/>
      <w:lvlText w:val=""/>
      <w:lvlJc w:val="left"/>
      <w:pPr>
        <w:ind w:hanging="360" w:left="4660"/>
      </w:pPr>
      <w:rPr>
        <w:rFonts w:ascii="Wingdings" w:cs="Wingdings" w:hAnsi="Wingdings" w:hint="default"/>
      </w:rPr>
    </w:lvl>
    <w:lvl w:ilvl="6">
      <w:start w:val="1"/>
      <w:numFmt w:val="bullet"/>
      <w:lvlText w:val=""/>
      <w:lvlJc w:val="left"/>
      <w:pPr>
        <w:ind w:hanging="360" w:left="5380"/>
      </w:pPr>
      <w:rPr>
        <w:rFonts w:ascii="Symbol" w:cs="Symbol" w:hAnsi="Symbol" w:hint="default"/>
      </w:rPr>
    </w:lvl>
    <w:lvl w:ilvl="7">
      <w:start w:val="1"/>
      <w:numFmt w:val="bullet"/>
      <w:lvlText w:val="o"/>
      <w:lvlJc w:val="left"/>
      <w:pPr>
        <w:ind w:hanging="360" w:left="6100"/>
      </w:pPr>
      <w:rPr>
        <w:rFonts w:ascii="Courier New" w:cs="Courier New" w:hAnsi="Courier New" w:hint="default"/>
      </w:rPr>
    </w:lvl>
    <w:lvl w:ilvl="8">
      <w:start w:val="1"/>
      <w:numFmt w:val="bullet"/>
      <w:lvlText w:val=""/>
      <w:lvlJc w:val="left"/>
      <w:pPr>
        <w:ind w:hanging="360" w:left="6820"/>
      </w:pPr>
      <w:rPr>
        <w:rFonts w:ascii="Wingdings" w:cs="Wingdings" w:hAnsi="Wingdings" w:hint="default"/>
      </w:r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75"/>
  <w:embedSystemFonts/>
  <w:defaultTabStop w:val="708"/>
</w:settings>
</file>

<file path=word/styles.xml><?xml version="1.0" encoding="utf-8"?>
<w:styles xmlns:w="http://schemas.openxmlformats.org/wordprocessingml/2006/main">
  <w:style w:styleId="style0" w:type="paragraph">
    <w:name w:val="Style par défaut"/>
    <w:next w:val="style0"/>
    <w:pPr>
      <w:widowControl/>
      <w:suppressAutoHyphens w:val="true"/>
    </w:pPr>
    <w:rPr>
      <w:rFonts w:ascii="Georgia" w:cs="Times New Roman" w:eastAsia="Times New Roman" w:hAnsi="Georgia"/>
      <w:color w:val="auto"/>
      <w:sz w:val="24"/>
      <w:szCs w:val="20"/>
      <w:lang w:bidi="ar-SA" w:eastAsia="fr-FR" w:val="fr-FR"/>
    </w:rPr>
  </w:style>
  <w:style w:styleId="style15" w:type="character">
    <w:name w:val="Default Paragraph Font"/>
    <w:next w:val="style15"/>
    <w:rPr/>
  </w:style>
  <w:style w:styleId="style16" w:type="character">
    <w:name w:val="Texte de bulles Car"/>
    <w:basedOn w:val="style15"/>
    <w:next w:val="style16"/>
    <w:rPr>
      <w:rFonts w:ascii="Tahoma" w:cs="Tahoma" w:hAnsi="Tahoma"/>
      <w:sz w:val="16"/>
      <w:szCs w:val="16"/>
    </w:rPr>
  </w:style>
  <w:style w:styleId="style17" w:type="character">
    <w:name w:val="Pied de page Car"/>
    <w:basedOn w:val="style15"/>
    <w:next w:val="style17"/>
    <w:rPr>
      <w:rFonts w:ascii="Georgia" w:hAnsi="Georgia"/>
      <w:sz w:val="24"/>
    </w:rPr>
  </w:style>
  <w:style w:styleId="style18" w:type="character">
    <w:name w:val="ListLabel 1"/>
    <w:next w:val="style18"/>
    <w:rPr>
      <w:rFonts w:cs="Times New Roman" w:eastAsia="Times New Roman"/>
    </w:rPr>
  </w:style>
  <w:style w:styleId="style19" w:type="character">
    <w:name w:val="ListLabel 2"/>
    <w:next w:val="style19"/>
    <w:rPr>
      <w:rFonts w:cs="Courier New"/>
    </w:rPr>
  </w:style>
  <w:style w:styleId="style20" w:type="paragraph">
    <w:name w:val="Titre"/>
    <w:basedOn w:val="style0"/>
    <w:next w:val="style21"/>
    <w:pPr>
      <w:keepNext/>
      <w:spacing w:after="120" w:before="240"/>
      <w:contextualSpacing w:val="false"/>
    </w:pPr>
    <w:rPr>
      <w:rFonts w:ascii="Arial" w:cs="Mangal" w:eastAsia="Microsoft YaHei" w:hAnsi="Arial"/>
      <w:sz w:val="28"/>
      <w:szCs w:val="28"/>
    </w:rPr>
  </w:style>
  <w:style w:styleId="style21" w:type="paragraph">
    <w:name w:val="Corps de texte"/>
    <w:basedOn w:val="style0"/>
    <w:next w:val="style21"/>
    <w:pPr>
      <w:spacing w:after="120" w:before="0"/>
      <w:contextualSpacing w:val="false"/>
    </w:pPr>
    <w:rPr/>
  </w:style>
  <w:style w:styleId="style22" w:type="paragraph">
    <w:name w:val="Liste"/>
    <w:basedOn w:val="style21"/>
    <w:next w:val="style22"/>
    <w:pPr/>
    <w:rPr>
      <w:rFonts w:cs="Mangal"/>
    </w:rPr>
  </w:style>
  <w:style w:styleId="style23" w:type="paragraph">
    <w:name w:val="Légende"/>
    <w:basedOn w:val="style0"/>
    <w:next w:val="style23"/>
    <w:pPr>
      <w:suppressLineNumbers/>
      <w:spacing w:after="120" w:before="120"/>
      <w:contextualSpacing w:val="false"/>
    </w:pPr>
    <w:rPr>
      <w:rFonts w:cs="Mangal"/>
      <w:i/>
      <w:iCs/>
      <w:sz w:val="24"/>
      <w:szCs w:val="24"/>
    </w:rPr>
  </w:style>
  <w:style w:styleId="style24" w:type="paragraph">
    <w:name w:val="Index"/>
    <w:basedOn w:val="style0"/>
    <w:next w:val="style24"/>
    <w:pPr>
      <w:suppressLineNumbers/>
    </w:pPr>
    <w:rPr>
      <w:rFonts w:cs="Mangal"/>
    </w:rPr>
  </w:style>
  <w:style w:styleId="style25" w:type="paragraph">
    <w:name w:val="En-tête"/>
    <w:basedOn w:val="style0"/>
    <w:next w:val="style25"/>
    <w:pPr>
      <w:tabs>
        <w:tab w:leader="none" w:pos="4536" w:val="center"/>
        <w:tab w:leader="none" w:pos="9072" w:val="right"/>
      </w:tabs>
    </w:pPr>
    <w:rPr/>
  </w:style>
  <w:style w:styleId="style26" w:type="paragraph">
    <w:name w:val="Balloon Text"/>
    <w:basedOn w:val="style0"/>
    <w:next w:val="style26"/>
    <w:pPr/>
    <w:rPr>
      <w:rFonts w:ascii="Tahoma" w:cs="Tahoma" w:hAnsi="Tahoma"/>
      <w:sz w:val="16"/>
      <w:szCs w:val="16"/>
    </w:rPr>
  </w:style>
  <w:style w:styleId="style27" w:type="paragraph">
    <w:name w:val="List Paragraph"/>
    <w:basedOn w:val="style0"/>
    <w:next w:val="style27"/>
    <w:pPr>
      <w:spacing w:after="0" w:before="0"/>
      <w:ind w:hanging="0" w:left="720" w:right="0"/>
      <w:contextualSpacing/>
    </w:pPr>
    <w:rPr/>
  </w:style>
  <w:style w:styleId="style28" w:type="paragraph">
    <w:name w:val="Normal (Web)"/>
    <w:basedOn w:val="style0"/>
    <w:next w:val="style28"/>
    <w:pPr>
      <w:spacing w:after="28" w:before="28"/>
      <w:contextualSpacing w:val="false"/>
    </w:pPr>
    <w:rPr>
      <w:rFonts w:ascii="Times New Roman" w:hAnsi="Times New Roman"/>
      <w:sz w:val="24"/>
      <w:szCs w:val="24"/>
    </w:rPr>
  </w:style>
  <w:style w:styleId="style29" w:type="paragraph">
    <w:name w:val="Normal"/>
    <w:next w:val="style29"/>
    <w:pPr>
      <w:widowControl/>
      <w:suppressAutoHyphens w:val="true"/>
    </w:pPr>
    <w:rPr>
      <w:rFonts w:ascii="Times New Roman" w:cs="Times New Roman" w:eastAsia="Times New Roman" w:hAnsi="Times New Roman"/>
      <w:color w:val="000000"/>
      <w:sz w:val="24"/>
      <w:szCs w:val="24"/>
      <w:lang w:bidi="ar-SA" w:eastAsia="fr-FR" w:val="fr-FR"/>
    </w:rPr>
  </w:style>
  <w:style w:styleId="style30" w:type="paragraph">
    <w:name w:val="Pied de page"/>
    <w:basedOn w:val="style0"/>
    <w:next w:val="style30"/>
    <w:pPr>
      <w:tabs>
        <w:tab w:leader="none" w:pos="4536" w:val="center"/>
        <w:tab w:leader="none" w:pos="907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189</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2012-11-20T14:13:00.00Z</dcterms:created>
  <dc:creator>MAIRIE D'ARRAYE ET HAN</dc:creator>
  <cp:lastModifiedBy>Utilisateur</cp:lastModifiedBy>
  <cp:lastPrinted>2012-11-30T10:52:00.00Z</cp:lastPrinted>
  <dcterms:modified xsi:type="dcterms:W3CDTF">2013-04-05T13:42:00.00Z</dcterms:modified>
  <cp:revision>11</cp:revision>
  <dc:title>Département de Meurthe et Moselle</dc:title>
</cp:coreProperties>
</file>